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36"/>
          <w:szCs w:val="36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36"/>
          <w:szCs w:val="36"/>
          <w:lang w:eastAsia="pl-PL"/>
        </w:rPr>
      </w:pPr>
      <w:r>
        <w:rPr>
          <w:rFonts w:ascii="Times New Roman" w:eastAsia="MS Mincho" w:hAnsi="Times New Roman" w:cs="Courier New"/>
          <w:b/>
          <w:bCs/>
          <w:sz w:val="36"/>
          <w:szCs w:val="36"/>
          <w:lang w:eastAsia="pl-PL"/>
        </w:rPr>
        <w:t>SPECYFIKACJE  TECHNICZNE</w:t>
      </w: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  <w:r>
        <w:rPr>
          <w:rFonts w:ascii="Times New Roman" w:eastAsia="MS Mincho" w:hAnsi="Times New Roman" w:cs="Courier New"/>
          <w:b/>
          <w:bCs/>
          <w:sz w:val="36"/>
          <w:szCs w:val="36"/>
          <w:lang w:eastAsia="pl-PL"/>
        </w:rPr>
        <w:t>WYKONANIA I ODBIORU ROBÓT</w:t>
      </w: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ind w:right="-1417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 xml:space="preserve">OBIEKT: 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t>INSTALACJA NAWADNIAJĄCA TERENY ZIELENI</w:t>
      </w:r>
    </w:p>
    <w:p w:rsidR="00C62969" w:rsidRDefault="00C62969" w:rsidP="00C62969">
      <w:pPr>
        <w:spacing w:after="0" w:line="240" w:lineRule="auto"/>
        <w:ind w:right="-1417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ind w:right="-1417"/>
        <w:jc w:val="both"/>
        <w:rPr>
          <w:rFonts w:ascii="Times New Roman" w:eastAsia="MS Mincho" w:hAnsi="Times New Roman" w:cs="Courier New"/>
          <w:b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sz w:val="24"/>
          <w:szCs w:val="24"/>
          <w:lang w:eastAsia="pl-PL"/>
        </w:rPr>
        <w:t>MODERNIZACJA PARKU NA PLACU DĄBROWSKIEGO W ZELOWIE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 xml:space="preserve">INWESTOR: 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>Gmina Zelów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>Zelów, ul. Żeromskiego 23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  <w:r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  <w:t>SPECYFIKACJA TECHNICZNA WYKONANIA I ODBIORU ROBÓT INSTALACJI AUTOMATYCZNEGO NAWADNIANIA TERENÓW ZIELENI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  <w:r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  <w:t>PARK NA PLACU DĄBROWSKIEGO W ZELOWIE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 xml:space="preserve">          </w:t>
      </w:r>
      <w:r>
        <w:rPr>
          <w:rFonts w:ascii="Times New Roman" w:eastAsia="MS Mincho" w:hAnsi="Times New Roman" w:cs="Courier New"/>
          <w:b/>
          <w:bCs/>
          <w:sz w:val="28"/>
          <w:szCs w:val="28"/>
          <w:lang w:eastAsia="pl-PL"/>
        </w:rPr>
        <w:t xml:space="preserve">SPIS TREŚCI 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>I  WSTĘP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numPr>
          <w:ilvl w:val="1"/>
          <w:numId w:val="1"/>
        </w:num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Przedmiot i zakres Specyfikacji</w:t>
      </w:r>
    </w:p>
    <w:p w:rsidR="00C62969" w:rsidRDefault="00C62969" w:rsidP="00C62969">
      <w:pPr>
        <w:numPr>
          <w:ilvl w:val="1"/>
          <w:numId w:val="1"/>
        </w:num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Materiały</w:t>
      </w:r>
    </w:p>
    <w:p w:rsidR="00C62969" w:rsidRDefault="00C62969" w:rsidP="00C62969">
      <w:pPr>
        <w:numPr>
          <w:ilvl w:val="1"/>
          <w:numId w:val="1"/>
        </w:num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Sprzęt</w:t>
      </w:r>
    </w:p>
    <w:p w:rsidR="00C62969" w:rsidRDefault="00C62969" w:rsidP="00C62969">
      <w:pPr>
        <w:numPr>
          <w:ilvl w:val="1"/>
          <w:numId w:val="1"/>
        </w:num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Transport</w:t>
      </w:r>
    </w:p>
    <w:p w:rsidR="00C62969" w:rsidRDefault="00C62969" w:rsidP="00C62969">
      <w:pPr>
        <w:numPr>
          <w:ilvl w:val="1"/>
          <w:numId w:val="1"/>
        </w:num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Powołane oraz związane przepisy i normy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</w:t>
      </w: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 xml:space="preserve">II   SIEĆ WODOCIĄGOWA NAWODNIENIA 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2.1. Definicje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2.2. Sieć wodociągowa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2.3. Prace ziemne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2.4.</w:t>
      </w: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t>Wykonanie sieci wodociągowej</w:t>
      </w:r>
    </w:p>
    <w:p w:rsidR="00C62969" w:rsidRDefault="00C62969" w:rsidP="00C62969">
      <w:pPr>
        <w:tabs>
          <w:tab w:val="center" w:pos="4536"/>
        </w:tabs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2.4.1. Transport i składowanie rur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tab/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2.4.2. Łączenie rur złączkami skręcanymi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2.4.3. Łączenie rur metodą elektrooporową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2.4.4. Łączenie rur metodą zgrzewania doczołowego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2.5.Uzbrojenie sieci wodociągowej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2.5.1. Kolektory rozdzielcze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 2.5.2. Urządzenia nawadniające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2.6. Instalacja sterująca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2.7. Kontrola i badania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2.7.1 Bieżąca kontrola robót zanikowych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      2.7.2. Badania szczelności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2.8. Odbiór techniczny końcowy      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AD09AF" w:rsidRDefault="00AD09AF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AD09AF" w:rsidRDefault="00AD09AF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bookmarkStart w:id="0" w:name="_GoBack"/>
      <w:bookmarkEnd w:id="0"/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lastRenderedPageBreak/>
        <w:t>I</w:t>
      </w: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ab/>
        <w:t>WSTĘP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>1.1. PRZEDMIOT I ZAKRES SPECYFIKACJI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Niniejsza specyfikacja jest zestawieniem wymagań technicznych, jakie winien spełniać Wykonawca przy realizacji kontraktu na przedmiotową budowę. Specyfikację na1eży rozpatrywać łącznie z rysunkami, kosztorysem, innymi dokumentami opisującymi inwestycję i stanowi integralną część dokumentów kontraktowych. Wszelkie rozwiązania techniczne związane z prawidłową realizacją budowy i przekazaniem obiektu Inwestorowi, a nie zawarte w dokumentacji, winne być wykonane zgodnie z obowiązującymi w budownictwie normami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br/>
        <w:t xml:space="preserve"> i sztuką budow1aną. Roboty nie ujęte w dokumentacji, a wynikające z technologii budowy, zastosowania materiałów lub montażu urządzeń winny być uwzględnione w kosztorysie ofertowym Wykonawcy. Brak ich wyszczególnienia w dokumentacji nie jest podstawą do roszczeń finansowych Wykonawcy w stosunku do Inwestora lub Biura Projektów. Dodatkowe wyjaśnienia związane z rea1izacją przedsięwzięcia biuro projektów może sporządzić na podstawie odrębnej umowy z Wykonawcą w postaci rysunków roboczych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br/>
        <w:t xml:space="preserve"> i nadzorów technicznych w trakcie trwania realizacji inwestycji. Zmiany w przyjętych rozwiązaniach technicznych lub zastosowanych materiałach muszą zostać zatwierdzone przez projektanta. Ewentualne zmiany dokonane bez w/w uzgodnień mogą stanowić podstawę do wstrzymania budowy na wniosek Biura Projektów. Wykonawca jest całkowicie odpowiedzialny za sprawdzenie zakresu prac, ilości materiałów i urządzeń zgodnie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br/>
        <w:t xml:space="preserve"> z dokumentacją na etapie przetargu. W razie wystąpienia niezgodności opisu technicznego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br/>
        <w:t xml:space="preserve"> z dokumentacją rysunkową Wykonawca powinien zwrócić  się pisemnie do biura projektów celem wyjaśnienia rozbieżności. Zasada powyższa obowiązuje przy wyjaśnianiu wszelkich wątpliwości związanych z niniejszą dokumentacją. Należy przestrzegać narzuconych wymiarów liniowych.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  <w:t>Przekazanie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</w:t>
      </w:r>
      <w:r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  <w:t>terenu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t xml:space="preserve"> </w:t>
      </w:r>
      <w:r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  <w:t>budowy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Zamawiający w ustalonym terminie przekaże Wykonawcy teren budowy wraz z wymaganymi uzgodnieniami prawnymi i administracyjnymi.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  <w:t>Dane charakteryzujące  inwestycję</w:t>
      </w:r>
    </w:p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</w:pPr>
    </w:p>
    <w:tbl>
      <w:tblPr>
        <w:tblW w:w="60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580"/>
        <w:gridCol w:w="540"/>
        <w:gridCol w:w="587"/>
        <w:gridCol w:w="960"/>
      </w:tblGrid>
      <w:tr w:rsidR="00C62969" w:rsidTr="00C62969">
        <w:trPr>
          <w:trHeight w:val="25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Powierzchnia nawadniana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2440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Maksymalny pobór wody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/g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6,0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hidden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</w:p>
        </w:tc>
      </w:tr>
      <w:tr w:rsidR="00C62969" w:rsidTr="00C62969">
        <w:trPr>
          <w:hidden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</w:p>
        </w:tc>
      </w:tr>
      <w:tr w:rsidR="00C62969" w:rsidTr="00C62969">
        <w:trPr>
          <w:hidden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</w:p>
        </w:tc>
      </w:tr>
      <w:tr w:rsidR="00C62969" w:rsidTr="00C62969">
        <w:trPr>
          <w:hidden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vanish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 Unicode MS" w:eastAsia="Arial Unicode MS" w:hAnsi="Arial Unicode MS" w:cs="Arial Unicode MS"/>
                <w:vanish/>
                <w:sz w:val="24"/>
                <w:szCs w:val="24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Rurociąg zasilający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Rura PE DN 63 PN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Rura PE DN 50 PN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2Rura PE DN 40 PN 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Urządzenia nawadniające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Elektrozawór PEB 100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Zraszacz RB 5500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Zraszacz 1800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Linia kroplująca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regulujący ciśnienie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Sterowanie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Sterownik elektroniczny Dialog +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rozszerzenia 8 sekcyjny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Wyłącznik deszczowy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Check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  <w:tr w:rsidR="00C62969" w:rsidTr="00C62969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Kabel sterujący YKSY 7x 1,5mm</w:t>
            </w:r>
            <w:r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62969" w:rsidRDefault="00C62969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62969" w:rsidRDefault="00C62969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eastAsia="pl-PL"/>
              </w:rPr>
            </w:pPr>
          </w:p>
        </w:tc>
      </w:tr>
    </w:tbl>
    <w:p w:rsidR="00C62969" w:rsidRDefault="00C62969" w:rsidP="00C62969">
      <w:pPr>
        <w:spacing w:after="0" w:line="240" w:lineRule="auto"/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lastRenderedPageBreak/>
        <w:t>1.2.</w:t>
      </w:r>
      <w:r>
        <w:rPr>
          <w:rFonts w:ascii="Times New Roman" w:eastAsia="MS Mincho" w:hAnsi="Times New Roman" w:cs="Courier New"/>
          <w:b/>
          <w:bCs/>
          <w:sz w:val="24"/>
          <w:szCs w:val="24"/>
          <w:lang w:eastAsia="pl-PL"/>
        </w:rPr>
        <w:tab/>
        <w:t>MATERIAŁY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b/>
          <w:bCs/>
          <w:i/>
          <w:iCs/>
          <w:sz w:val="24"/>
          <w:szCs w:val="24"/>
          <w:lang w:eastAsia="pl-PL"/>
        </w:rPr>
        <w:t>Ogólne wymagania dotyczące materiałów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Wszystkie materiały zastosowane do realizacji robót powinny odpowiadać co do jakości wymogom wyrobów dopuszczonych do obrotu i stosowania w budownictwie, określonym</w:t>
      </w:r>
      <w:r>
        <w:rPr>
          <w:rFonts w:ascii="Times New Roman" w:eastAsia="MS Mincho" w:hAnsi="Times New Roman" w:cs="Courier New"/>
          <w:sz w:val="24"/>
          <w:szCs w:val="24"/>
          <w:lang w:eastAsia="pl-PL"/>
        </w:rPr>
        <w:br/>
        <w:t xml:space="preserve"> w art. 10 ustawy Prawo budowlane, wymaganiom Projektu Wykonawczego i przedmiaru robót, wymaganiom specyfikacji istotnych warunków zamówienia i przyjętym w ofercie rozwiązaniom technicznym. Na każde żądanie Zamawiającego /Inspektora nadzoru -posiadającego uprawnienia do prowadzenia i nadzorowania w zakresie robót instalacyjnych Wykonawca obowiązany jest okazać w stosunku do wskazanych materiałów: certyfikat na znak bezpieczeństwa, deklarację zgodności lub certyfikat zgodności z Polską Normą lub aprobatą techniczną.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Wszystkie materiały i urządzenia użyte do wykonania instalacji muszą posiadać świadectwa dopuszczenia do obrotu i stosowania w budownictwie, a przy ich stosowaniu muszą być spełnione zasady określone w załącznikach do tych dokumentów.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  <w:r>
        <w:rPr>
          <w:rFonts w:ascii="Times New Roman" w:eastAsia="MS Mincho" w:hAnsi="Times New Roman" w:cs="Courier New"/>
          <w:sz w:val="24"/>
          <w:szCs w:val="24"/>
          <w:lang w:eastAsia="pl-PL"/>
        </w:rPr>
        <w:t>Do materiałów wyszczególnionych w obowiązujących i publikowanych katalogach /KNNR, KNR, KNRW, KSNR, KNP, ORGBUD i innych/ należy stosować zasady określone w założeniach ogólnych i szczegółowych katalogów. W szczególności należy stosować warunki i normy tam wskazane.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MS Mincho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  <w:t>1.3.   SPRZĘT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Do wykonania robót Wykonawca jest zobowiązany zastosować sprzęt i maszyny właściwe dla danego rodzaju robót, który nie spowoduje niekorzystnego wpływu na jakość wykonywanych robót. Nakłady pracy sprzętu winny wynikać z katalogu nakładów rzeczowych z uwzględnieniem założeń ogólnych i szczegółowych. Sprzęt, maszyny, urządzenia i narzędzia nie gwarantujące zachowania warunków umowy nie zostaną dopuszczone do robót przez Inspektora nadzoru.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  <w:t>1.4.</w:t>
      </w:r>
      <w:r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  <w:tab/>
        <w:t>TRANSPORT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Środki transportu technologicznego i zewnętrznego winny być dobrane przy uwzględnieniu przeciętnej organizacji pracy.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  <w:t>1.5.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</w:r>
      <w:r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  <w:t>POWOŁANE ORAZ ZWIĄZANE PRZEPISY I NORMY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b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[1]   Ustawa Prawo budowlane z dnia 07 lipca 1994r. /Dz. U. Nr 106/00, poz. 1126; Nr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109/00, poz. 1157; Nr 120/00, poz. 1268; Nr 5/01, poz. 42; Nr 100/01, poz. 1085; Nr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110/01,po~ 1190;Nr 115/01, poz. 1229;Nr 129/01,poz. 1439;Nr 154/01,poz. 1800;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Nr 74/02, poz. 676; Nr 80/03, poz. 718/;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[2]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Infrastruktury z dnia 12 kwietnia 2002r. w sprawie warunków technicznych, jakim powinny odpowiadać budynki i ich usytuowanie /Dz. U. Nr 75/02, poz. 690; Nr 33/03, poz. 270/;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[3]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Spraw Wewnętrznych i Administracji z dnia 16 sierpnia 1999r. w sprawie warunków technicznych użytkowania budynków mieszkalnych /Dz. U. Nr 74/99, poz. 836/;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[4]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Spraw Wewnętrznych i Administracji z dnia 16 sierpnia 1998r. w sprawie aprobat i kryteriów technicznych oraz jednostkowego stosowania wyrobów budowlanych /Dz. U. Nr 107/98, poz. 679; Nr 8/02, poz. 71/;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lastRenderedPageBreak/>
        <w:t>[5]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Spraw Wewnętrznych i Administracji z dnia 31 lipca 1998r. w sprawie systemów oceny zgodności, wzoru deklaracji zgodności oraz sposobu znakowania wyrobów budowlanych dopuszczanych do obrotu i powszechnego stosowania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br/>
        <w:t xml:space="preserve"> w budownictwie /Dz. U. Nr 113/98, poz. 728/;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[6]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Spraw Wewnętrznych i Administracji z dnia 24 lipca 1998r. w sprawie określenia wykazu wyrobów budowlanych nie mających istotnego wpływu na spełnianie wymagań podstawowych oraz wyrobów wytwarzanych i stosowanych według uznanych zasad sztuki budowlanej /Dz. U. Nr 99/98, poz. 673/;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[7]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Rady Ministrów z dnia 09 listopada 1999r. w sprawie wykazu wyrobów wyprodukowanych w Polsce, a także wyrobów importowanych do Polski po raz pierwszy, mogących stwarzać zagrożenie albo służących ochronie lub ratowaniu życia, zdrowia lub środowiska, podlegających obowiązkowi certyfikacji na znak bezpieczeństwa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br/>
        <w:t xml:space="preserve"> i oznaczania tym znakiem, oraz wyrobów podlegających obowiązkowi wystawania przez producenta deklaracji zgodności /Dz. U. Nr 5/00, poz. 53/;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>[8]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tab/>
        <w:t>Rozporządzenie Ministra Gospodarki z dnia 13 stycznia 2000r. w sprawie trybu wydawania dokumentów dopuszczających do obrotu wyroby mogące stwarzać zagrożenie, albo które służą ochronie lub ratowaniu życia, zdrowia i środowiska, wyprodukowane</w:t>
      </w:r>
      <w:r>
        <w:rPr>
          <w:rFonts w:ascii="Times New Roman" w:eastAsia="Arial Unicode MS" w:hAnsi="Times New Roman" w:cs="Courier New"/>
          <w:sz w:val="24"/>
          <w:szCs w:val="24"/>
          <w:lang w:eastAsia="pl-PL"/>
        </w:rPr>
        <w:br/>
        <w:t xml:space="preserve"> w Polsce lub pochodzące z kraju, z którym Polska zawarła porozumienie w sprawie uznawania certyfikatu zgodności lub deklaracji zgodności wystawianej przez producenta, oraz rodzajów tych dokumentów /Dz. U. Nr 5/00, poz. 58/;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Arial Unicode MS" w:hAnsi="Times New Roman" w:cs="Courier New"/>
          <w:sz w:val="24"/>
          <w:szCs w:val="24"/>
          <w:lang w:eastAsia="pl-PL"/>
        </w:rPr>
      </w:pP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[9]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Rozwoju Regionalnego i Budownictwa z dnia 02 kwietnia 2001r. w sprawie geodezyjnej ewidencji sieci uzbrojenia terenu oraz zespołów uzgadniania dokumentacji projektowej /Dz. U. Nr 38/01, poz. 455/;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[9a]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Gospodarki, Pracy i Polityki Społecznej z dnia 02 kwietnia 2003r. w sprawie wymagań w zakresie efektywności energetycznej /Dz. U. Nr 79/03, poz. 714/;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[10]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Rozwoju Regionalnego i Budownictwa z dnia 26 września 2000r. w sprawie kosztorysowych norm nakładów rzeczowych, cen jednostkowych robót budowlanych oraz cen czynników produkcji dla potrzeb sporządzenia kosztorysu inwestorskiego /Dz. U. Nr 114/00, poz. 1195/;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[11]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Infrastruktury z dnia 03 lipca 2003r. w sprawie szczegółowego zakresu i formy projektu budowlanego /Dz. U. Nr 120/03, poz. 1133/;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[12]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Ustawa z dnia 07 czerwca 2001r. o zbiorowym zaopatrzeniu w wodę i zbiorowym odprowadzeniu ścieków /Dz. U. Nr 72/01, poz. 747/;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[13]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Rozporządzenie Ministra Zdrowia z dnia 19 listopada 2002r. w sprawie wymagań dotyczących jakości wody przeznaczonej do spożycia przez ludzi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203/02, poz. 1718/;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[14]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Spraw Wewnętrznych i Administracji z dnia 16 czerwca 2003r. w sprawie ochrony przeciwpożarowej budynków, innych obiekt6w budowlanych i terenów /Dz. U. Nr 121/03, poz. 1138/;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[15]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Rozporządzenie Ministra Pracy i Polityki Socjalnej z dnia 26 września 1997r.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sprawie ogólnych przepisów bezpieczeństwa i higieny pracy /Dz. U. Nr 129/97, poz. 844; Nr 91/02, poz. 811/;</w:t>
      </w:r>
    </w:p>
    <w:p w:rsidR="00C62969" w:rsidRDefault="00C62969" w:rsidP="00C62969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80" w:lineRule="exact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[16]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Rozporządzenie Ministra Infrastruktury z dnia 06 lutego 2003r. w sprawie bezpieczeństwa i higieny pracy podczas wykonywania robót budowlanych /Dz. U. Nr 47/03, poz. 401/;</w:t>
      </w:r>
    </w:p>
    <w:p w:rsidR="00C62969" w:rsidRDefault="00C62969" w:rsidP="00C62969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PN-EN 1806708:1998 PN-ISO 7-1:1995     Elementy rurociągów. Definicje i dobór DN    </w:t>
      </w:r>
    </w:p>
    <w:p w:rsidR="00C62969" w:rsidRDefault="00C62969" w:rsidP="00C62969">
      <w:pPr>
        <w:widowControl w:val="0"/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/wymiaru nominalnego/.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PN4SO 228-1:1995 Gwinty rurowe połączeń ze szczelnością  uzyskiwaną na gwincie.  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                        Wymiary, tolerancje i oznaczenia. 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PN-ISO 4064-2+Adl :1997   Gwinty rurowe połączeń ze szczelnością nie uzyskiwaną na gwincie. Wymiary, tolerancje i oznaczenia. 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PN-84/B-01701     Pomiar objętości wody w przewodach. Wodomierze do wody pitnej zimnej. Wymagania instalacyjne.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PN-92/B-01 706   Instalacje wewnętrzne wodociągowe i kanalizacyjne. Oznaczenia na rysunkach.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ind w:firstLine="28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Instalacje wodociągowe. Wymagania w projektowaniu</w:t>
      </w:r>
    </w:p>
    <w:p w:rsidR="00C62969" w:rsidRDefault="00C62969" w:rsidP="00C62969">
      <w:pPr>
        <w:widowControl w:val="0"/>
        <w:tabs>
          <w:tab w:val="left" w:pos="288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PN-B-01 706:1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992/Az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:1999 Instalacje wodociągowe. Wymagania w projektowaniu Zmiana Az1.</w:t>
      </w:r>
    </w:p>
    <w:p w:rsidR="00C62969" w:rsidRDefault="00C62969" w:rsidP="00C629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PN-B-1 0725 PN-8 1/B-I 0700.00  Wodociągi. Przewody zewnętrzne. </w:t>
      </w:r>
    </w:p>
    <w:p w:rsidR="00C62969" w:rsidRDefault="00C62969" w:rsidP="00C629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PN-81IB-10700.02Instalacje wewnętrzne wodociągowe i kanalizacyjne. Wymagania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badania przy odbiorze. Wspólne wymagania i badania.</w:t>
      </w:r>
    </w:p>
    <w:p w:rsidR="00C62969" w:rsidRDefault="00C62969" w:rsidP="00C629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PN-B-10702:1999   Instalacje wewnętrzne wodociągowe i kanalizacyjne. Wymagania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badania przy odbiorze. Przewody wody zimnej ciepłej z rur stalowych ocynkowanych. Wodociągi i kanalizacja. Zbiorniki. Wymagania I badania. </w:t>
      </w:r>
    </w:p>
    <w:p w:rsidR="00C62969" w:rsidRDefault="00C62969" w:rsidP="00C6296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PN-B-73001 :1996 Instalacje wodociągowe. Zbiorniki  bezciśnieniowe wymagania</w:t>
      </w:r>
    </w:p>
    <w:p w:rsidR="00C62969" w:rsidRDefault="00C62969" w:rsidP="00C62969">
      <w:pPr>
        <w:widowControl w:val="0"/>
        <w:tabs>
          <w:tab w:val="left" w:pos="8980"/>
        </w:tabs>
        <w:autoSpaceDE w:val="0"/>
        <w:autoSpaceDN w:val="0"/>
        <w:adjustRightInd w:val="0"/>
        <w:spacing w:after="0" w:line="240" w:lineRule="auto"/>
        <w:ind w:left="89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PN-B-73002: 1996</w:t>
      </w:r>
      <w:r>
        <w:rPr>
          <w:rFonts w:ascii="Times New Roman" w:eastAsia="Times New Roman" w:hAnsi="Times New Roman" w:cs="Times New Roman"/>
          <w:lang w:eastAsia="pl-PL"/>
        </w:rPr>
        <w:tab/>
        <w:t>Instalacje wodociągowe. Zbiorniki ciśnieniowe. Wymagania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i badania.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PN-71/H-0465 1</w:t>
      </w:r>
      <w:r>
        <w:rPr>
          <w:rFonts w:ascii="Times New Roman" w:eastAsia="Times New Roman" w:hAnsi="Times New Roman" w:cs="Times New Roman"/>
          <w:lang w:eastAsia="pl-PL"/>
        </w:rPr>
        <w:tab/>
        <w:t>Ochrona przed korozją Klasyfikacja I określenie agresywności korozyjnej środowisk.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PN-H-74200: 1998</w:t>
      </w:r>
      <w:r>
        <w:rPr>
          <w:rFonts w:ascii="Times New Roman" w:eastAsia="Times New Roman" w:hAnsi="Times New Roman" w:cs="Times New Roman"/>
          <w:lang w:eastAsia="pl-PL"/>
        </w:rPr>
        <w:tab/>
        <w:t>Rury stalowe ze szwem gwintowane.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PN-70/N-01 270.01</w:t>
      </w:r>
      <w:r>
        <w:rPr>
          <w:rFonts w:ascii="Times New Roman" w:eastAsia="Times New Roman" w:hAnsi="Times New Roman" w:cs="Times New Roman"/>
          <w:lang w:eastAsia="pl-PL"/>
        </w:rPr>
        <w:tab/>
        <w:t>Wytyczne znakowania rurociągów. Postanowienia ogólne.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PN-70~N-01270.03</w:t>
      </w:r>
      <w:r>
        <w:rPr>
          <w:rFonts w:ascii="Times New Roman" w:eastAsia="Times New Roman" w:hAnsi="Times New Roman" w:cs="Times New Roman"/>
          <w:lang w:eastAsia="pl-PL"/>
        </w:rPr>
        <w:tab/>
        <w:t>Wytyczne znakowania rurociągów. Kod barw rozpoznawczych dla przesyłanych czynników.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PN-70/N-0 1270.04</w:t>
      </w:r>
      <w:r>
        <w:rPr>
          <w:rFonts w:ascii="Times New Roman" w:eastAsia="Times New Roman" w:hAnsi="Times New Roman" w:cs="Times New Roman"/>
          <w:lang w:eastAsia="pl-PL"/>
        </w:rPr>
        <w:tab/>
        <w:t>Wytyczne znakowania rurociągów. Podstawowe wymagania.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 PN-EN 806-1                         Wymagania dotyczące instalacji wodociągowych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ind w:left="28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wewnętrznych. Część 1: Wymagania ogólnych.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 EN 12502-3</w:t>
      </w:r>
      <w:r>
        <w:rPr>
          <w:rFonts w:ascii="Times New Roman" w:eastAsia="Times New Roman" w:hAnsi="Times New Roman" w:cs="Times New Roman"/>
          <w:lang w:eastAsia="pl-PL"/>
        </w:rPr>
        <w:tab/>
        <w:t>Ochrona materiałów metalowych przed korozją Ryzyko korozji w systemach przewodzących wodę Część 3: Przeg1ąd czynników wpływających na ogniowo cynkowane materiały żelazne.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PN-80/H-7421 9</w:t>
      </w:r>
      <w:r>
        <w:rPr>
          <w:rFonts w:ascii="Times New Roman" w:eastAsia="Times New Roman" w:hAnsi="Times New Roman" w:cs="Times New Roman"/>
          <w:lang w:eastAsia="pl-PL"/>
        </w:rPr>
        <w:tab/>
        <w:t>Rury stalowe bez szwu walcowane na gorąco ogólnego stosowania.</w:t>
      </w:r>
    </w:p>
    <w:p w:rsidR="00C62969" w:rsidRDefault="00C62969" w:rsidP="00C62969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60" w:lineRule="exact"/>
        <w:ind w:left="2880" w:hanging="288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 PN-EN 805</w:t>
      </w:r>
      <w:r>
        <w:rPr>
          <w:rFonts w:ascii="Times New Roman" w:eastAsia="Times New Roman" w:hAnsi="Times New Roman" w:cs="Times New Roman"/>
          <w:lang w:eastAsia="pl-PL"/>
        </w:rPr>
        <w:tab/>
        <w:t>Zaopatrzenie w wodę. Wymagania dla sieci wodociągowych i ich części składowych.</w:t>
      </w:r>
    </w:p>
    <w:p w:rsidR="00C62969" w:rsidRDefault="00C62969" w:rsidP="00C62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SIEĆ WODOCIĄGOWA NAWODNIENIOWA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2.1    DEFINICJE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Sieć wodociągowa – układ połączonych przewodów i ich uzbrojenia, przesyłających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rozprowadzających wodę przeznaczoną do nawodnienia terenów zieleni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Przewód wodociągowy rozdzielczy – przewód przeznaczony do rozprowadzania wody do przyłączy zraszaczy.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Przyłącze wodociągowe – połączenie wodociągowe – przewód przeznaczony do doprowadzania wody do zraszaczy i  urządzeń czerpalnych.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Uzbrojenie przewodów wodociągowych – armatura i przyrządy pomiarowe zapewniające prawidłowe działanie i eksploatację sieci wodociągowej.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Armatura sieci wodociągowych – w zależności od przeznaczenia: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armatura zaporowa – zasuwy, przepustnice, zawory;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armatura odpowietrzająca – zawory odpowietrzające, napowietrzające, odpowietrzająco - napowietrzające;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armatura regulująca – zawory regulacyjne  i redukcyjne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określenia według PN-B-01060.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2.2.   SIEĆ WODOCIĄGOWA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Sieć wodociągowa na terenie zieleni ma zapewnić dostarczanie wody do poszczególnych węzłów a następnie do zraszaczy i urządzeń nawadniających rośliny.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Sieć wodociągowa powinna być wykonana zgodnie z zasadami wiedzy technicznej, w sposób umożliwiający zapewnienie jej prawidłowego użytkowania w zakresie zaopatrzenia w wodę, zgodnego z przeznaczeniem oraz wymogami przepisów techniczno-budowlanych.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Materiały z których ma być wykonana sieć wodociągowa i podejścia do zraszaczy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Sieć wodociągowa z rur PE w przypadku średnic 16, 40, 50mm, odcinki rur i elementy sterujące mogą być łączone następującymi metodami: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zgrzewanie doczołowe,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łączenie za pomocą złączy elektrooporowych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mechaniczne zaciskowe przy pomocy łączników polietylenowych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powyższe metody muszą uwzględniać elementy o odp. min. PN 10.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PRACE ZIEMNE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ziemne powinny być wykonane zgodnie z normą PZPN-B-10736, szczególnie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uwzględnieniem wymogów dot. bezpieczeństwa pracy.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Przewiduje się układanie rur PE bezpośrednio na podłożu w wykopie.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Trasowanie biegu rurociągów należy wykonać z dokładnością do 0,1 m względem projektowanego przebiegu.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Przewidywana głębokość ułożenia sieci wodociągowej to 0,5 m – warunkiem jest wykonanie odwodnienia sieci po sezonie wegetacyjnym.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 względu na specyfikę nawadniania, wykopy należy wykonywać przy pomocy urządzeń których urządzenie kopiące wykonuje rów o szerokości do 0,3 m. Ze względu na pochylenia nawierzchni większość prac musi zostać wykonana sposobem ręcznym.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Ułożone rurociągi należy zasypać gruntem wydobytym z wykopów. Zasypywanie rurociągów musi być wykonywane etapami, z zagęszczeniem kolejnych warstw. Pierwsza warstwa około 10 cm musi być ręcznie zagęszczona po bokach rury ułożonej w wykopie.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numPr>
          <w:ilvl w:val="1"/>
          <w:numId w:val="3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WYKONANIE SIECI WODOCIĄGOWEJ</w:t>
      </w:r>
    </w:p>
    <w:p w:rsidR="00C62969" w:rsidRDefault="00C62969" w:rsidP="00C6296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2.4.1. Transport i składowanie rur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i składowanie rur i kształtek musi być przeprowadzone w sposób wykluczający zniszczenia, powierzchnia składowania musi być wolna od kamieni i innych ostrych przedmiotów.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2.4.1. Łączenie rur złączkami skręcanymi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Rury PE muszą być obcięte gładko pod kątem 90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Krawędź rury musi być zaokrąglona (sfazowana)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Przekrój rury musi być okrągły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Łączenie należy przeprowadzić stosując substancje poślizgowe i narzędzia nie niszczące powierzchni złączek</w:t>
      </w:r>
    </w:p>
    <w:p w:rsidR="00C62969" w:rsidRDefault="00C62969" w:rsidP="00C6296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2.4.2. Łączenie rur złączkami skręcanymi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Rury PE muszą być obcięte gładko pod kątem 90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Krawędź rury musi być zaokrąglona (sfazowana)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Przekrój rury musi być okrągły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Łączenie należy przeprowadzić stosując substancje poślizgowe i narzędzia nie niszczące powierzchni złączek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2.4.3. Łączenie rur metodą elektrooporową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Rury muszą być obcięte pod kątem 90</w:t>
      </w:r>
      <w:r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pl-PL"/>
        </w:rPr>
        <w:t>o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Przekrój rury musi być okrągły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Należy stosować atestowane złączki 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Każdorazowo oznaczać pisakiem głębokość powierzchni do obróbki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Obróbkę (obskrobanie) przeprowadzić na całości strefy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zgrzewu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tworzenia głębokich bruzd i przecięć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 wykonaniu obróbki należy odtłuścić powierzchnię zewnętrzną rury i wewnętrzną złączki specjalnymi preparatami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Zgrzewanie wykonywać ściśle według określonych parametrów czasowych, podczas zgrzewania i studzenia złączki i rura muszą być unieruchomione w zaciskach.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2.4.4. Łączenie rur metodą zgrzewania doczołowego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 łączyć rury o tych samych parametrach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Czynności wykonywać ściśle według instrukcji producenta urządzenia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Zgrzewanie wykonywać ściśle według określonych parametrów czasowych, podczas zgrzewania i studzenia złączki i rura muszą być unieruchomione w zaciskach.</w:t>
      </w:r>
    </w:p>
    <w:p w:rsidR="00C62969" w:rsidRDefault="00C62969" w:rsidP="00C629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2.5.   UZBROJENIE SIECI WODOCIĄGOWEJ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Urządzenia na sieci wodociągowej pracujące na odcinkach do elektrozaworów muszą posiadać zdolność do pracy na min. 10 bar. Dotyczy to: elektrozaworów, zaworów kulowych, zasuw. Urządzenia na odcinkach sieci za elektrozaworami mogą posiadać atesty PN 6.(zawory spustowe, zraszacze, obejmy do montażu zraszaczy)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2.5.1. Kolektory rozdzielcze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Kolektory rozdzielcze elektrozaworów umieszczone są w studzienkach polietylenowych systemowych. Elektrozawory 1,0” montowane w studzienkach. Wszelkie elementy skręcane muszą być uszczelnione taśmą teflonową lub pakułami z pastą,  przeznaczoną do połączeń na podwyższone ciśnienia. Zabezpieczone przed zniszczeniem i zamuleniem przy pomocy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geowłókniny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odpowiednich frakcji żwiru.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2.5.2. Urządzenia nawadniające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Zraszacze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wynurzalne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RB 5500 PC, RB 1800 oraz linie kroplujące wyposażone reduktory ciśnienia i filtry.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2.6.    INSTALACJA STERUJĄCA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Instalacja sterująca pracująca na napięciu 24 V składa się ze sterownika, cewek elektromagnetycznych na elektrozaworach i przewodów elektrycznych do zastosowań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gruncie.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prace należy przeprowadzić zgodnie z zaleceniami dostawcy urządzeń, wszelkie podłączenia instalacji  w terenie muszą być wykonane jako wodoodporne.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Przewody elektryczne położone na głębokości 0,5 m dodatkowo zabezpieczone niebieską folią ostrzegawczą.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Przejścia pod drogami wykonać należy metodą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przecisków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przewody umieścić w rurach osłonowych zabezpieczonych z obu stron przed zamuleniem.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2.7.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KONTROLA I BADANIA 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wykonania sieci wodociągowej polega na sprawdzeniu zgodności budowy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z projektem i zasadami wykonywania robót.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2.7.1. Bieżąca kontrola robót zanikowych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Każdorazowa kontrola dostarczanego materiału na budowę odbiór z Deklaracją Zgodności.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Składowanie rur, kształtek, i armatury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wytyczenia osi przewodów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Kontrola głębokości wykopów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przewodu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Zagęszczenie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obsypki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przewodu – 85%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ZPPr</w:t>
      </w:r>
      <w:proofErr w:type="spellEnd"/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Szczelność przewodu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części metalowych przed korozją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Armatura w studzienkach 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Przyłącze wodociągowe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Płukanie przewodów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Podłączeń instalacji sterującej i pracy programu sterującego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2.7.2. Badania szczelności 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Badanie szczelności sieci nawadniającej należy przeprowadzić wykonując próbę hydrauliczną  utrzymując ciśnienie próbne przez okres 30 min., podczas próby ciśnienie próbne powinno wynosić 1,5 ciśnienia roboczego, nie mniej niż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(10 bar).Badanie  kolektorów należy przeprowadzić jako próbę 24 godzinną przy ciśnieniu roboczym.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Badając sieć należy wykonać próby przed zamontowaniem urządzeń zraszających, lub zaślepić otwory w rurkach pod zraszaczami.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Urządzenie użyte do prób musi posiadać aktualne atesty i plomby.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2.8.  ODBIÓR TECHNICZNY KOŃCOWY</w:t>
      </w:r>
    </w:p>
    <w:p w:rsidR="00C62969" w:rsidRDefault="00C62969" w:rsidP="00C629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Badania przy odbiorze technicznym końcowym polegają na: 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zbadaniu zgodności dokumentacji technicznej ze stanem faktycznym i inwentaryzacją geodezyjną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zbadaniu zgodności protokołów odbioru: próby szczelności oraz wyników badań stopnia zagęszczenia gruntu zasypki wykopu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zbadania kompletności aprobat, atestów i świadectw zgodności na wszystkie zastosowane materiały i urządzenia.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Wyniki badań powinny być wpisane do dziennika budowy, który wraz z protokołami, projektem powykonawczym z naniesionymi zmianami, inwentaryzacją geodezyjną, instrukcjami obsługi, atestami przekazywany jest Inwestorowi przy przekazaniu sieci nawadniającej.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Teren po budowie sieci powinien być doprowadzony do stanu pierwotnego.</w:t>
      </w:r>
    </w:p>
    <w:p w:rsidR="00C62969" w:rsidRDefault="00C62969" w:rsidP="00C629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budowy jest zobowiązany zgodnie z art. 57. ust. 1  pkt 2 ustawy (1) złożyć oświadczenie: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wykonaniu prac zgodnie z projektem, warunkami pozwolenia na budowę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i warunkami technicznymi wykonania i odbioru robót.</w:t>
      </w:r>
    </w:p>
    <w:p w:rsidR="00C62969" w:rsidRDefault="00C62969" w:rsidP="00C6296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doprowadzeniu do należytego stanu i porządku terenu budowy.</w:t>
      </w:r>
    </w:p>
    <w:p w:rsidR="00C62969" w:rsidRDefault="00C62969" w:rsidP="00C62969">
      <w:pPr>
        <w:jc w:val="both"/>
        <w:rPr>
          <w:rFonts w:ascii="Calibri" w:eastAsia="Calibri" w:hAnsi="Calibri" w:cs="Times New Roman"/>
        </w:rPr>
      </w:pPr>
    </w:p>
    <w:p w:rsidR="00C62969" w:rsidRDefault="00C62969" w:rsidP="00C62969"/>
    <w:p w:rsidR="00F31A57" w:rsidRDefault="00F31A57"/>
    <w:sectPr w:rsidR="00F31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5235"/>
    <w:multiLevelType w:val="multilevel"/>
    <w:tmpl w:val="024A1F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E557D00"/>
    <w:multiLevelType w:val="hybridMultilevel"/>
    <w:tmpl w:val="0D7A60BC"/>
    <w:lvl w:ilvl="0" w:tplc="157E08E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748D204A"/>
    <w:multiLevelType w:val="multilevel"/>
    <w:tmpl w:val="ED6E3266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76"/>
    <w:rsid w:val="00233E76"/>
    <w:rsid w:val="00AD09AF"/>
    <w:rsid w:val="00C62969"/>
    <w:rsid w:val="00F3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9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969"/>
    <w:rPr>
      <w:sz w:val="20"/>
      <w:szCs w:val="20"/>
    </w:rPr>
  </w:style>
  <w:style w:type="character" w:styleId="Odwoaniedokomentarza">
    <w:name w:val="annotation reference"/>
    <w:semiHidden/>
    <w:unhideWhenUsed/>
    <w:rsid w:val="00C6296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9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969"/>
    <w:rPr>
      <w:sz w:val="20"/>
      <w:szCs w:val="20"/>
    </w:rPr>
  </w:style>
  <w:style w:type="character" w:styleId="Odwoaniedokomentarza">
    <w:name w:val="annotation reference"/>
    <w:semiHidden/>
    <w:unhideWhenUsed/>
    <w:rsid w:val="00C6296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0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2877</Words>
  <Characters>17266</Characters>
  <Application>Microsoft Office Word</Application>
  <DocSecurity>0</DocSecurity>
  <Lines>143</Lines>
  <Paragraphs>40</Paragraphs>
  <ScaleCrop>false</ScaleCrop>
  <Company/>
  <LinksUpToDate>false</LinksUpToDate>
  <CharactersWithSpaces>20103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dcterms:created xsi:type="dcterms:W3CDTF">2014-08-08T06:55:00Z</dcterms:created>
  <dcterms:modified xsi:type="dcterms:W3CDTF">2014-08-08T06:56:00Z</dcterms:modified>
</cp:coreProperties>
</file>